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714DA1C3">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35CA6308" w:rsidR="001F12EB" w:rsidRPr="00B077AE" w:rsidRDefault="004962A1"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Surf Trips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70D417C3" w14:textId="77777777" w:rsidR="004962A1" w:rsidRDefault="004962A1" w:rsidP="004962A1">
            <w:pPr>
              <w:pStyle w:val="Heading"/>
              <w:ind w:left="0"/>
              <w:jc w:val="left"/>
              <w:rPr>
                <w:rFonts w:ascii="Arial" w:hAnsi="Arial" w:cs="Arial"/>
                <w:b w:val="0"/>
                <w:color w:val="000000"/>
                <w:sz w:val="22"/>
                <w:szCs w:val="20"/>
                <w:lang w:val="en-GB"/>
              </w:rPr>
            </w:pPr>
            <w:r>
              <w:rPr>
                <w:rFonts w:ascii="Arial" w:hAnsi="Arial" w:cs="Arial"/>
                <w:b w:val="0"/>
                <w:color w:val="000000"/>
                <w:sz w:val="22"/>
                <w:szCs w:val="20"/>
                <w:lang w:val="en-GB"/>
              </w:rPr>
              <w:t xml:space="preserve">During the academic year, we run </w:t>
            </w:r>
            <w:r w:rsidRPr="00A236B8">
              <w:rPr>
                <w:rFonts w:ascii="Arial" w:hAnsi="Arial" w:cs="Arial"/>
                <w:b w:val="0"/>
                <w:color w:val="000000"/>
                <w:sz w:val="22"/>
                <w:szCs w:val="20"/>
                <w:lang w:val="en-GB"/>
              </w:rPr>
              <w:t xml:space="preserve">three surf kayaking trips, one early on to Rest Bay, another before Easter staying in Dartmoor and the final to Woolacombe before exams. </w:t>
            </w:r>
            <w:r>
              <w:rPr>
                <w:rFonts w:ascii="Arial" w:hAnsi="Arial" w:cs="Arial"/>
                <w:b w:val="0"/>
                <w:color w:val="000000"/>
                <w:sz w:val="22"/>
                <w:szCs w:val="20"/>
                <w:lang w:val="en-GB"/>
              </w:rPr>
              <w:t>This applies to any other surf related trips at beaches/ locations not mentioned above.</w:t>
            </w:r>
            <w:r w:rsidRPr="00A236B8">
              <w:rPr>
                <w:rFonts w:ascii="Arial" w:hAnsi="Arial" w:cs="Arial"/>
                <w:b w:val="0"/>
                <w:color w:val="000000"/>
                <w:sz w:val="22"/>
                <w:szCs w:val="20"/>
                <w:lang w:val="en-GB"/>
              </w:rPr>
              <w:t xml:space="preserve"> This involves using kayaks t</w:t>
            </w:r>
            <w:r>
              <w:rPr>
                <w:rFonts w:ascii="Arial" w:hAnsi="Arial" w:cs="Arial"/>
                <w:b w:val="0"/>
                <w:color w:val="000000"/>
                <w:sz w:val="22"/>
                <w:szCs w:val="20"/>
                <w:lang w:val="en-GB"/>
              </w:rPr>
              <w:t xml:space="preserve">o surf sea waves in the same way as that of a surfer does. We use all the same boats, spray decks, buoyancy aids and helmets as we would on white water, and a surf specific briefing is given before going on the water that involves etiquette, how to rescue and what to do in the event of capsize. </w:t>
            </w:r>
          </w:p>
          <w:p w14:paraId="13A07CBE" w14:textId="77777777" w:rsidR="004962A1" w:rsidRPr="00B65766" w:rsidRDefault="004962A1" w:rsidP="004962A1">
            <w:pPr>
              <w:pStyle w:val="BodyText"/>
              <w:rPr>
                <w:color w:val="4F81BD" w:themeColor="accent1"/>
              </w:rPr>
            </w:pPr>
          </w:p>
          <w:p w14:paraId="0EDE43E4" w14:textId="77777777" w:rsidR="004962A1" w:rsidRDefault="004962A1" w:rsidP="004962A1">
            <w:pPr>
              <w:pStyle w:val="Heading"/>
              <w:ind w:left="0"/>
              <w:jc w:val="left"/>
              <w:rPr>
                <w:rFonts w:ascii="Arial" w:hAnsi="Arial" w:cs="Arial"/>
                <w:b w:val="0"/>
                <w:color w:val="000000"/>
                <w:sz w:val="22"/>
                <w:szCs w:val="20"/>
                <w:lang w:val="en-GB"/>
              </w:rPr>
            </w:pPr>
            <w:r>
              <w:rPr>
                <w:rFonts w:ascii="Arial" w:hAnsi="Arial" w:cs="Arial"/>
                <w:b w:val="0"/>
                <w:color w:val="000000"/>
                <w:sz w:val="22"/>
                <w:szCs w:val="20"/>
                <w:lang w:val="en-GB"/>
              </w:rPr>
              <w:t>Beginners are monitored by the more experienced paddlers, generally on a 1 experienced paddler to 2 beginners ratio.</w:t>
            </w:r>
          </w:p>
          <w:p w14:paraId="22ED4950" w14:textId="7FDF4483" w:rsidR="00C872EC" w:rsidRPr="004962A1" w:rsidRDefault="004962A1" w:rsidP="004962A1">
            <w:pPr>
              <w:pStyle w:val="Title"/>
              <w:ind w:left="0"/>
              <w:jc w:val="left"/>
              <w:outlineLvl w:val="0"/>
              <w:rPr>
                <w:rFonts w:ascii="Arial" w:hAnsi="Arial" w:cs="Arial"/>
                <w:b w:val="0"/>
                <w:bCs w:val="0"/>
                <w:color w:val="000000" w:themeColor="text1"/>
                <w:sz w:val="22"/>
                <w:u w:val="none"/>
              </w:rPr>
            </w:pPr>
            <w:r w:rsidRPr="004962A1">
              <w:rPr>
                <w:rFonts w:ascii="Arial" w:hAnsi="Arial" w:cs="Arial"/>
                <w:b w:val="0"/>
                <w:bCs w:val="0"/>
                <w:u w:val="none"/>
              </w:rPr>
              <w:t>Swimming without a buoyancy aid is permitted provided the swimmer has passed a swim test. Members are requested to swim with company and within lifeguard flags</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51330B76" w:rsidR="00B077AE" w:rsidRPr="00E05FB0" w:rsidRDefault="00B077AE">
            <w:pPr>
              <w:pStyle w:val="Title"/>
              <w:ind w:left="0"/>
              <w:jc w:val="left"/>
              <w:outlineLvl w:val="0"/>
              <w:rPr>
                <w:rFonts w:ascii="Arial" w:hAnsi="Arial" w:cs="Arial"/>
                <w:b w:val="0"/>
                <w:bCs w:val="0"/>
                <w:color w:val="000000" w:themeColor="text1"/>
                <w:sz w:val="22"/>
                <w:u w:val="none"/>
              </w:rPr>
            </w:pP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2276DE5E" w:rsidR="00B077AE" w:rsidRPr="00B077AE" w:rsidRDefault="00B077AE" w:rsidP="004D2123">
            <w:pPr>
              <w:pStyle w:val="Title"/>
              <w:ind w:left="0"/>
              <w:jc w:val="left"/>
              <w:outlineLvl w:val="0"/>
              <w:rPr>
                <w:rFonts w:ascii="Arial" w:hAnsi="Arial" w:cs="Arial"/>
                <w:b w:val="0"/>
                <w:bCs w:val="0"/>
                <w:color w:val="000000" w:themeColor="text1"/>
                <w:sz w:val="22"/>
                <w:u w:val="none"/>
              </w:rPr>
            </w:pP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30437FA8" w:rsidR="002F1F1E" w:rsidRPr="00E05FB0" w:rsidRDefault="004962A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549"/>
        <w:gridCol w:w="3023"/>
        <w:gridCol w:w="1454"/>
        <w:gridCol w:w="6945"/>
        <w:gridCol w:w="684"/>
        <w:gridCol w:w="709"/>
        <w:gridCol w:w="695"/>
        <w:gridCol w:w="1665"/>
      </w:tblGrid>
      <w:tr w:rsidR="004962A1" w14:paraId="7B18EF6C" w14:textId="77777777" w:rsidTr="00664C01">
        <w:trPr>
          <w:cantSplit/>
          <w:trHeight w:val="888"/>
          <w:tblHeader/>
        </w:trPr>
        <w:tc>
          <w:tcPr>
            <w:tcW w:w="54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5CE57BF" w14:textId="77777777" w:rsidR="004962A1" w:rsidRDefault="004962A1" w:rsidP="00664C01">
            <w:pPr>
              <w:pStyle w:val="Heading"/>
              <w:ind w:left="0"/>
              <w:jc w:val="left"/>
            </w:pPr>
            <w:r>
              <w:rPr>
                <w:rFonts w:ascii="Arial" w:hAnsi="Arial" w:cs="Arial"/>
                <w:color w:val="000000"/>
                <w:sz w:val="16"/>
                <w:szCs w:val="16"/>
                <w:lang w:val="en-GB"/>
              </w:rPr>
              <w:lastRenderedPageBreak/>
              <w:t>#</w:t>
            </w:r>
          </w:p>
        </w:tc>
        <w:tc>
          <w:tcPr>
            <w:tcW w:w="3023"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5808E924" w14:textId="77777777" w:rsidR="004962A1" w:rsidRDefault="004962A1" w:rsidP="00664C01">
            <w:pPr>
              <w:pStyle w:val="Heading"/>
              <w:snapToGrid w:val="0"/>
              <w:ind w:left="0"/>
              <w:jc w:val="left"/>
              <w:rPr>
                <w:rFonts w:ascii="Arial" w:hAnsi="Arial" w:cs="Arial"/>
                <w:color w:val="000000"/>
                <w:sz w:val="16"/>
                <w:szCs w:val="16"/>
                <w:lang w:val="en-GB"/>
              </w:rPr>
            </w:pPr>
          </w:p>
          <w:p w14:paraId="68E4F11A" w14:textId="77777777" w:rsidR="004962A1" w:rsidRDefault="004962A1" w:rsidP="00664C01">
            <w:pPr>
              <w:pStyle w:val="Heading"/>
              <w:ind w:left="0"/>
              <w:jc w:val="left"/>
            </w:pPr>
            <w:r>
              <w:rPr>
                <w:rFonts w:ascii="Arial" w:hAnsi="Arial" w:cs="Arial"/>
                <w:color w:val="000000"/>
                <w:sz w:val="16"/>
                <w:szCs w:val="16"/>
                <w:lang w:val="en-GB"/>
              </w:rPr>
              <w:t>Hazard(s) identified</w:t>
            </w:r>
          </w:p>
        </w:tc>
        <w:tc>
          <w:tcPr>
            <w:tcW w:w="145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2026948" w14:textId="77777777" w:rsidR="004962A1" w:rsidRDefault="004962A1" w:rsidP="00664C01">
            <w:pPr>
              <w:pStyle w:val="Heading"/>
              <w:ind w:left="0"/>
              <w:jc w:val="left"/>
            </w:pPr>
            <w:r>
              <w:rPr>
                <w:rFonts w:ascii="Arial" w:hAnsi="Arial" w:cs="Arial"/>
                <w:color w:val="000000"/>
                <w:sz w:val="16"/>
                <w:szCs w:val="16"/>
                <w:lang w:val="en-GB"/>
              </w:rPr>
              <w:t>Persons affected</w:t>
            </w:r>
          </w:p>
        </w:tc>
        <w:tc>
          <w:tcPr>
            <w:tcW w:w="694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18DCC25" w14:textId="77777777" w:rsidR="004962A1" w:rsidRDefault="004962A1" w:rsidP="00664C01">
            <w:pPr>
              <w:pStyle w:val="Heading"/>
              <w:snapToGrid w:val="0"/>
              <w:ind w:left="0"/>
              <w:jc w:val="left"/>
              <w:rPr>
                <w:rFonts w:ascii="Arial" w:hAnsi="Arial" w:cs="Arial"/>
                <w:color w:val="000000"/>
                <w:sz w:val="16"/>
                <w:szCs w:val="16"/>
                <w:lang w:val="en-GB"/>
              </w:rPr>
            </w:pPr>
          </w:p>
          <w:p w14:paraId="57DD6AE0" w14:textId="77777777" w:rsidR="004962A1" w:rsidRDefault="004962A1" w:rsidP="00664C01">
            <w:pPr>
              <w:pStyle w:val="Heading"/>
              <w:ind w:left="0"/>
              <w:jc w:val="left"/>
            </w:pPr>
            <w:r>
              <w:rPr>
                <w:rFonts w:ascii="Arial" w:hAnsi="Arial" w:cs="Arial"/>
                <w:color w:val="000000"/>
                <w:sz w:val="16"/>
                <w:szCs w:val="16"/>
                <w:lang w:val="en-GB"/>
              </w:rPr>
              <w:t>Existing controls &amp; measures</w:t>
            </w:r>
          </w:p>
        </w:tc>
        <w:tc>
          <w:tcPr>
            <w:tcW w:w="6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459FF7F" w14:textId="77777777" w:rsidR="004962A1" w:rsidRDefault="004962A1" w:rsidP="00664C01">
            <w:pPr>
              <w:pStyle w:val="Heading"/>
              <w:snapToGrid w:val="0"/>
              <w:ind w:left="0"/>
              <w:jc w:val="left"/>
              <w:rPr>
                <w:rFonts w:ascii="Arial" w:hAnsi="Arial" w:cs="Arial"/>
                <w:color w:val="000000"/>
                <w:sz w:val="16"/>
                <w:szCs w:val="16"/>
                <w:lang w:val="en-GB"/>
              </w:rPr>
            </w:pPr>
          </w:p>
          <w:p w14:paraId="6BAB8918" w14:textId="77777777" w:rsidR="004962A1" w:rsidRDefault="004962A1" w:rsidP="00664C01">
            <w:pPr>
              <w:pStyle w:val="Heading"/>
              <w:ind w:left="0"/>
              <w:jc w:val="left"/>
            </w:pPr>
            <w:r>
              <w:rPr>
                <w:rFonts w:ascii="Arial" w:hAnsi="Arial" w:cs="Arial"/>
                <w:color w:val="000000"/>
                <w:sz w:val="16"/>
                <w:szCs w:val="16"/>
                <w:lang w:val="en-GB"/>
              </w:rPr>
              <w:t>A</w:t>
            </w:r>
          </w:p>
        </w:tc>
        <w:tc>
          <w:tcPr>
            <w:tcW w:w="7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EB75561" w14:textId="77777777" w:rsidR="004962A1" w:rsidRDefault="004962A1" w:rsidP="00664C01">
            <w:pPr>
              <w:pStyle w:val="Heading"/>
              <w:snapToGrid w:val="0"/>
              <w:ind w:left="0"/>
              <w:jc w:val="left"/>
              <w:rPr>
                <w:rFonts w:ascii="Arial" w:hAnsi="Arial" w:cs="Arial"/>
                <w:color w:val="000000"/>
                <w:sz w:val="16"/>
                <w:szCs w:val="16"/>
                <w:lang w:val="en-GB"/>
              </w:rPr>
            </w:pPr>
          </w:p>
          <w:p w14:paraId="4A534739" w14:textId="77777777" w:rsidR="004962A1" w:rsidRDefault="004962A1" w:rsidP="00664C01">
            <w:pPr>
              <w:pStyle w:val="Heading"/>
              <w:ind w:left="0"/>
              <w:jc w:val="left"/>
            </w:pPr>
            <w:r>
              <w:rPr>
                <w:rFonts w:ascii="Arial" w:hAnsi="Arial" w:cs="Arial"/>
                <w:color w:val="000000"/>
                <w:sz w:val="16"/>
                <w:szCs w:val="16"/>
                <w:lang w:val="en-GB"/>
              </w:rPr>
              <w:t>B</w:t>
            </w:r>
          </w:p>
        </w:tc>
        <w:tc>
          <w:tcPr>
            <w:tcW w:w="69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77E03F81" w14:textId="77777777" w:rsidR="004962A1" w:rsidRDefault="004962A1" w:rsidP="00664C01">
            <w:pPr>
              <w:pStyle w:val="Heading"/>
              <w:snapToGrid w:val="0"/>
              <w:ind w:left="0"/>
              <w:jc w:val="left"/>
              <w:rPr>
                <w:rFonts w:ascii="Arial" w:hAnsi="Arial" w:cs="Arial"/>
                <w:color w:val="000000"/>
                <w:sz w:val="16"/>
                <w:szCs w:val="16"/>
                <w:lang w:val="en-GB"/>
              </w:rPr>
            </w:pPr>
          </w:p>
          <w:p w14:paraId="70F123FB" w14:textId="77777777" w:rsidR="004962A1" w:rsidRDefault="004962A1" w:rsidP="00664C01">
            <w:pPr>
              <w:pStyle w:val="Heading"/>
              <w:ind w:left="0"/>
              <w:jc w:val="left"/>
            </w:pPr>
            <w:r>
              <w:rPr>
                <w:rFonts w:ascii="Arial" w:hAnsi="Arial" w:cs="Arial"/>
                <w:color w:val="000000"/>
                <w:sz w:val="16"/>
                <w:szCs w:val="16"/>
                <w:lang w:val="en-GB"/>
              </w:rPr>
              <w:t>A x B</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6DFE5894" w14:textId="77777777" w:rsidR="004962A1" w:rsidRDefault="004962A1" w:rsidP="00664C01">
            <w:pPr>
              <w:pStyle w:val="Heading"/>
              <w:snapToGrid w:val="0"/>
              <w:ind w:left="0"/>
              <w:jc w:val="left"/>
              <w:rPr>
                <w:rFonts w:ascii="Arial" w:hAnsi="Arial" w:cs="Arial"/>
                <w:color w:val="000000"/>
                <w:sz w:val="16"/>
                <w:szCs w:val="16"/>
                <w:lang w:val="en-GB"/>
              </w:rPr>
            </w:pPr>
          </w:p>
          <w:p w14:paraId="51992478" w14:textId="77777777" w:rsidR="004962A1" w:rsidRDefault="004962A1" w:rsidP="00664C01">
            <w:pPr>
              <w:pStyle w:val="Heading"/>
              <w:ind w:left="0"/>
              <w:jc w:val="left"/>
            </w:pPr>
            <w:r>
              <w:rPr>
                <w:rFonts w:ascii="Arial" w:hAnsi="Arial" w:cs="Arial"/>
                <w:color w:val="000000"/>
                <w:sz w:val="16"/>
                <w:szCs w:val="16"/>
                <w:lang w:val="en-GB"/>
              </w:rPr>
              <w:t>Additional controls required</w:t>
            </w:r>
          </w:p>
        </w:tc>
      </w:tr>
      <w:tr w:rsidR="004962A1" w14:paraId="4C9274D1"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06A60EA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1</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2B8CDF6E"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566452BB"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Drowning</w:t>
            </w:r>
          </w:p>
          <w:p w14:paraId="61C6AC9E"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1DD91DB1"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Anyone on Water</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2D54BF2E" w14:textId="77777777" w:rsidR="004962A1" w:rsidRDefault="004962A1" w:rsidP="004962A1">
            <w:pPr>
              <w:pStyle w:val="Heading"/>
              <w:numPr>
                <w:ilvl w:val="0"/>
                <w:numId w:val="19"/>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Buoyancy aids are mandatory on the sea for those in a kayak.</w:t>
            </w:r>
          </w:p>
          <w:p w14:paraId="2737242D" w14:textId="77777777" w:rsidR="004962A1" w:rsidRPr="003B7C72" w:rsidRDefault="004962A1" w:rsidP="004962A1">
            <w:pPr>
              <w:pStyle w:val="BodyText"/>
              <w:numPr>
                <w:ilvl w:val="0"/>
                <w:numId w:val="19"/>
              </w:numPr>
              <w:suppressAutoHyphens/>
              <w:spacing w:after="140" w:line="288" w:lineRule="auto"/>
            </w:pPr>
            <w:r>
              <w:t>Swimmers asked to swim in lifeguard protected zones.</w:t>
            </w:r>
          </w:p>
          <w:p w14:paraId="09738B5F" w14:textId="77777777" w:rsidR="004962A1" w:rsidRPr="00E04FC9" w:rsidRDefault="004962A1" w:rsidP="004962A1">
            <w:pPr>
              <w:pStyle w:val="BodyText"/>
              <w:numPr>
                <w:ilvl w:val="0"/>
                <w:numId w:val="19"/>
              </w:numPr>
              <w:suppressAutoHyphens/>
              <w:spacing w:after="140" w:line="288" w:lineRule="auto"/>
              <w:rPr>
                <w:szCs w:val="22"/>
              </w:rPr>
            </w:pPr>
            <w:r w:rsidRPr="00E04FC9">
              <w:rPr>
                <w:szCs w:val="22"/>
              </w:rPr>
              <w:t>Session leader has skills and experience to assist any person trapped in a capsized kayak</w:t>
            </w:r>
            <w:r>
              <w:rPr>
                <w:szCs w:val="22"/>
              </w:rPr>
              <w:t>.</w:t>
            </w:r>
          </w:p>
          <w:p w14:paraId="30B677C1" w14:textId="77777777" w:rsidR="004962A1" w:rsidRPr="00E04FC9" w:rsidRDefault="004962A1" w:rsidP="004962A1">
            <w:pPr>
              <w:pStyle w:val="BodyText"/>
              <w:numPr>
                <w:ilvl w:val="0"/>
                <w:numId w:val="19"/>
              </w:numPr>
              <w:suppressAutoHyphens/>
              <w:spacing w:after="140" w:line="288" w:lineRule="auto"/>
              <w:rPr>
                <w:szCs w:val="22"/>
              </w:rPr>
            </w:pPr>
            <w:r w:rsidRPr="00E04FC9">
              <w:rPr>
                <w:szCs w:val="22"/>
              </w:rPr>
              <w:t xml:space="preserve">Swim test is </w:t>
            </w:r>
            <w:r>
              <w:rPr>
                <w:szCs w:val="22"/>
              </w:rPr>
              <w:t>required t</w:t>
            </w:r>
            <w:r w:rsidRPr="00E04FC9">
              <w:rPr>
                <w:szCs w:val="22"/>
              </w:rPr>
              <w:t>o assess swimming competence.</w:t>
            </w:r>
          </w:p>
          <w:p w14:paraId="631D0273" w14:textId="77777777" w:rsidR="004962A1" w:rsidRPr="00ED1369" w:rsidRDefault="004962A1" w:rsidP="004962A1">
            <w:pPr>
              <w:pStyle w:val="Heading"/>
              <w:numPr>
                <w:ilvl w:val="0"/>
                <w:numId w:val="19"/>
              </w:numPr>
              <w:spacing w:line="276" w:lineRule="auto"/>
              <w:jc w:val="left"/>
              <w:rPr>
                <w:rFonts w:ascii="Arial" w:hAnsi="Arial" w:cs="Arial"/>
                <w:b w:val="0"/>
                <w:bCs w:val="0"/>
                <w:sz w:val="22"/>
                <w:szCs w:val="22"/>
              </w:rPr>
            </w:pPr>
            <w:r w:rsidRPr="00E04FC9">
              <w:rPr>
                <w:rFonts w:ascii="Arial" w:hAnsi="Arial" w:cs="Arial"/>
                <w:b w:val="0"/>
                <w:bCs w:val="0"/>
                <w:sz w:val="22"/>
                <w:szCs w:val="22"/>
              </w:rPr>
              <w:t xml:space="preserve">Before using a </w:t>
            </w:r>
            <w:r>
              <w:rPr>
                <w:rFonts w:ascii="Arial" w:hAnsi="Arial" w:cs="Arial"/>
                <w:b w:val="0"/>
                <w:bCs w:val="0"/>
                <w:sz w:val="22"/>
                <w:szCs w:val="22"/>
                <w:lang w:val="en-GB"/>
              </w:rPr>
              <w:t>spraydeck</w:t>
            </w:r>
            <w:r w:rsidRPr="00ED1369">
              <w:rPr>
                <w:rFonts w:ascii="Arial" w:hAnsi="Arial" w:cs="Arial"/>
                <w:b w:val="0"/>
                <w:bCs w:val="0"/>
                <w:sz w:val="22"/>
                <w:szCs w:val="22"/>
              </w:rPr>
              <w:t>, paddler competence should be assessed to ensure they know how to exit the kayak safely.</w:t>
            </w:r>
          </w:p>
          <w:p w14:paraId="6AF3DFB9" w14:textId="77777777" w:rsidR="004962A1" w:rsidRDefault="004962A1" w:rsidP="004962A1">
            <w:pPr>
              <w:pStyle w:val="BodyText"/>
              <w:numPr>
                <w:ilvl w:val="0"/>
                <w:numId w:val="19"/>
              </w:numPr>
              <w:suppressAutoHyphens/>
              <w:spacing w:after="140" w:line="288" w:lineRule="auto"/>
              <w:rPr>
                <w:lang w:val="en-US"/>
              </w:rPr>
            </w:pPr>
            <w:r>
              <w:rPr>
                <w:lang w:val="en-US"/>
              </w:rPr>
              <w:t>Paddlers encouraged not to paddle outside of their limits</w:t>
            </w:r>
          </w:p>
          <w:p w14:paraId="28DAB644" w14:textId="77777777" w:rsidR="004962A1" w:rsidRDefault="004962A1" w:rsidP="004962A1">
            <w:pPr>
              <w:pStyle w:val="BodyText"/>
              <w:numPr>
                <w:ilvl w:val="0"/>
                <w:numId w:val="19"/>
              </w:numPr>
              <w:suppressAutoHyphens/>
              <w:spacing w:after="140" w:line="288" w:lineRule="auto"/>
              <w:rPr>
                <w:lang w:val="en-US"/>
              </w:rPr>
            </w:pPr>
            <w:r>
              <w:rPr>
                <w:lang w:val="en-US"/>
              </w:rPr>
              <w:t xml:space="preserve">Swimming not permitted between sunset and sunrise </w:t>
            </w:r>
          </w:p>
          <w:p w14:paraId="698F247E" w14:textId="77777777" w:rsidR="004962A1" w:rsidRPr="00D409EB" w:rsidRDefault="004962A1" w:rsidP="00664C01">
            <w:pPr>
              <w:pStyle w:val="BodyText"/>
              <w:rPr>
                <w:lang w:val="en-US"/>
              </w:rPr>
            </w:pPr>
          </w:p>
        </w:tc>
        <w:tc>
          <w:tcPr>
            <w:tcW w:w="684" w:type="dxa"/>
            <w:tcBorders>
              <w:top w:val="single" w:sz="4" w:space="0" w:color="000000" w:themeColor="text1"/>
              <w:left w:val="single" w:sz="4" w:space="0" w:color="000000" w:themeColor="text1"/>
              <w:bottom w:val="single" w:sz="4" w:space="0" w:color="000000" w:themeColor="text1"/>
            </w:tcBorders>
            <w:vAlign w:val="center"/>
          </w:tcPr>
          <w:p w14:paraId="3377F52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C04AAEB"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1</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A1DB35D"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6E740"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tc>
      </w:tr>
      <w:tr w:rsidR="004962A1" w14:paraId="18C24447"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2998455A"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51A955DA"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684F62F6"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Collision of boat/paddle and person</w:t>
            </w:r>
          </w:p>
          <w:p w14:paraId="48945E3E"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tcPr>
          <w:p w14:paraId="7EF0596B" w14:textId="77777777" w:rsidR="004962A1" w:rsidRDefault="004962A1" w:rsidP="00664C01">
            <w:pPr>
              <w:snapToGrid w:val="0"/>
              <w:rPr>
                <w:color w:val="000000"/>
                <w:kern w:val="1"/>
                <w:szCs w:val="22"/>
              </w:rPr>
            </w:pPr>
          </w:p>
          <w:p w14:paraId="65A36976" w14:textId="77777777" w:rsidR="004962A1" w:rsidRDefault="004962A1" w:rsidP="00664C01">
            <w:r>
              <w:rPr>
                <w:szCs w:val="22"/>
              </w:rPr>
              <w:t>Anyone on water</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4911BCFE" w14:textId="77777777" w:rsidR="004962A1" w:rsidRDefault="004962A1" w:rsidP="004962A1">
            <w:pPr>
              <w:pStyle w:val="BodyText"/>
              <w:numPr>
                <w:ilvl w:val="0"/>
                <w:numId w:val="18"/>
              </w:numPr>
              <w:suppressAutoHyphens/>
              <w:spacing w:after="140" w:line="288" w:lineRule="auto"/>
            </w:pPr>
            <w:r w:rsidRPr="006A0348">
              <w:t>Paddlers should only surf in areas within their skill level of controlling the kayak</w:t>
            </w:r>
          </w:p>
          <w:p w14:paraId="488C300B" w14:textId="77777777" w:rsidR="004962A1" w:rsidRPr="006A0348" w:rsidRDefault="004962A1" w:rsidP="004962A1">
            <w:pPr>
              <w:pStyle w:val="BodyText"/>
              <w:numPr>
                <w:ilvl w:val="0"/>
                <w:numId w:val="18"/>
              </w:numPr>
              <w:suppressAutoHyphens/>
              <w:spacing w:after="140" w:line="288" w:lineRule="auto"/>
            </w:pPr>
            <w:r w:rsidRPr="006A0348">
              <w:t>Buoyancy Aids provide padding</w:t>
            </w:r>
          </w:p>
          <w:p w14:paraId="451BF2AF" w14:textId="77777777" w:rsidR="004962A1" w:rsidRPr="004D646B" w:rsidRDefault="004962A1" w:rsidP="004962A1">
            <w:pPr>
              <w:pStyle w:val="BodyText"/>
              <w:numPr>
                <w:ilvl w:val="0"/>
                <w:numId w:val="18"/>
              </w:numPr>
              <w:suppressAutoHyphens/>
              <w:spacing w:after="140" w:line="288" w:lineRule="auto"/>
            </w:pPr>
            <w:r>
              <w:t>Helmets should be worn when kayak surfing</w:t>
            </w:r>
          </w:p>
          <w:p w14:paraId="5C39F180" w14:textId="77777777" w:rsidR="004962A1" w:rsidRDefault="004962A1" w:rsidP="004962A1">
            <w:pPr>
              <w:pStyle w:val="BodyText"/>
              <w:numPr>
                <w:ilvl w:val="0"/>
                <w:numId w:val="18"/>
              </w:numPr>
              <w:suppressAutoHyphens/>
              <w:spacing w:after="140" w:line="288" w:lineRule="auto"/>
            </w:pPr>
            <w:r w:rsidRPr="006A0348">
              <w:t>Everyone taught etiquette so chances of dropping in on someone/ being dropped in on are unlikely</w:t>
            </w:r>
          </w:p>
          <w:p w14:paraId="35F291BE" w14:textId="77777777" w:rsidR="004962A1" w:rsidRPr="006A0348" w:rsidRDefault="004962A1" w:rsidP="004962A1">
            <w:pPr>
              <w:pStyle w:val="BodyText"/>
              <w:numPr>
                <w:ilvl w:val="0"/>
                <w:numId w:val="18"/>
              </w:numPr>
              <w:suppressAutoHyphens/>
              <w:spacing w:after="140" w:line="288" w:lineRule="auto"/>
            </w:pPr>
            <w:r w:rsidRPr="006A0348">
              <w:t>Group should be aware of other surfers in the area, and act to minimise the risk of collision</w:t>
            </w:r>
          </w:p>
          <w:p w14:paraId="35CE027C" w14:textId="77777777" w:rsidR="004962A1" w:rsidRDefault="004962A1" w:rsidP="004962A1">
            <w:pPr>
              <w:pStyle w:val="BodyText"/>
              <w:numPr>
                <w:ilvl w:val="0"/>
                <w:numId w:val="18"/>
              </w:numPr>
              <w:suppressAutoHyphens/>
              <w:spacing w:after="140" w:line="288" w:lineRule="auto"/>
            </w:pPr>
            <w:r>
              <w:t>Swimmers must swim away from kayakers</w:t>
            </w:r>
          </w:p>
          <w:p w14:paraId="3B422E6E" w14:textId="77777777" w:rsidR="004962A1" w:rsidRPr="006A0348" w:rsidRDefault="004962A1" w:rsidP="004962A1">
            <w:pPr>
              <w:pStyle w:val="BodyText"/>
              <w:numPr>
                <w:ilvl w:val="0"/>
                <w:numId w:val="18"/>
              </w:numPr>
              <w:suppressAutoHyphens/>
              <w:spacing w:after="140" w:line="288" w:lineRule="auto"/>
            </w:pPr>
            <w:r>
              <w:t xml:space="preserve">Kayakers must adhere to surfing location according to beach guidelines </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4FC1490"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4</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5ADDA04"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9918F1C"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C2632"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tc>
      </w:tr>
      <w:tr w:rsidR="004962A1" w14:paraId="29A1677A"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6FC211C9"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lastRenderedPageBreak/>
              <w:t>3</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03313C7E"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12EA539E"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Hypothermia/Environment/Weather</w:t>
            </w:r>
          </w:p>
          <w:p w14:paraId="42967D76"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tcPr>
          <w:p w14:paraId="2257F707" w14:textId="77777777" w:rsidR="004962A1" w:rsidRDefault="004962A1" w:rsidP="00664C01">
            <w:pPr>
              <w:snapToGrid w:val="0"/>
              <w:rPr>
                <w:color w:val="000000"/>
                <w:kern w:val="1"/>
                <w:szCs w:val="22"/>
              </w:rPr>
            </w:pPr>
          </w:p>
          <w:p w14:paraId="23AC953F" w14:textId="77777777" w:rsidR="004962A1" w:rsidRDefault="004962A1" w:rsidP="00664C01">
            <w:r>
              <w:rPr>
                <w:szCs w:val="22"/>
              </w:rPr>
              <w:t>Anyone present</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2EE6533A" w14:textId="77777777" w:rsidR="004962A1" w:rsidRDefault="004962A1" w:rsidP="004962A1">
            <w:pPr>
              <w:pStyle w:val="Heading"/>
              <w:numPr>
                <w:ilvl w:val="0"/>
                <w:numId w:val="17"/>
              </w:numPr>
              <w:tabs>
                <w:tab w:val="clear" w:pos="0"/>
              </w:tabs>
              <w:spacing w:line="276" w:lineRule="auto"/>
              <w:jc w:val="left"/>
            </w:pPr>
            <w:r>
              <w:rPr>
                <w:rFonts w:ascii="Arial" w:hAnsi="Arial" w:cs="Arial"/>
                <w:b w:val="0"/>
                <w:bCs w:val="0"/>
                <w:color w:val="000000"/>
                <w:sz w:val="22"/>
                <w:szCs w:val="22"/>
                <w:lang w:val="en-GB"/>
              </w:rPr>
              <w:t>Everyone briefed on what to wear</w:t>
            </w:r>
          </w:p>
          <w:p w14:paraId="55139A88" w14:textId="77777777" w:rsidR="004962A1" w:rsidRDefault="004962A1" w:rsidP="004962A1">
            <w:pPr>
              <w:pStyle w:val="Heading"/>
              <w:numPr>
                <w:ilvl w:val="0"/>
                <w:numId w:val="17"/>
              </w:numPr>
              <w:tabs>
                <w:tab w:val="clear" w:pos="0"/>
              </w:tabs>
              <w:spacing w:line="276" w:lineRule="auto"/>
              <w:jc w:val="left"/>
            </w:pPr>
            <w:r>
              <w:rPr>
                <w:rFonts w:ascii="Arial" w:hAnsi="Arial" w:cs="Arial"/>
                <w:b w:val="0"/>
                <w:bCs w:val="0"/>
                <w:color w:val="000000"/>
                <w:sz w:val="22"/>
                <w:szCs w:val="22"/>
                <w:lang w:val="en-GB"/>
              </w:rPr>
              <w:t>Wetsuits may be borrowed from the club or SU. Non-beginners are encouraged to invest in their own kit as part of good practise in an outdoor adventure context.</w:t>
            </w:r>
          </w:p>
          <w:p w14:paraId="6C1C31AA" w14:textId="77777777" w:rsidR="004962A1" w:rsidRPr="006507E4" w:rsidRDefault="004962A1" w:rsidP="004962A1">
            <w:pPr>
              <w:pStyle w:val="Heading"/>
              <w:numPr>
                <w:ilvl w:val="0"/>
                <w:numId w:val="17"/>
              </w:numPr>
              <w:tabs>
                <w:tab w:val="clear" w:pos="0"/>
              </w:tabs>
              <w:spacing w:line="276" w:lineRule="auto"/>
              <w:jc w:val="left"/>
              <w:rPr>
                <w:rFonts w:ascii="Arial" w:hAnsi="Arial" w:cs="Arial"/>
                <w:b w:val="0"/>
                <w:bCs w:val="0"/>
                <w:color w:val="000000"/>
                <w:sz w:val="22"/>
                <w:szCs w:val="22"/>
                <w:lang w:val="en-GB"/>
              </w:rPr>
            </w:pPr>
            <w:r w:rsidRPr="006507E4">
              <w:rPr>
                <w:rFonts w:ascii="Arial" w:hAnsi="Arial" w:cs="Arial"/>
                <w:b w:val="0"/>
                <w:bCs w:val="0"/>
                <w:color w:val="000000"/>
                <w:sz w:val="22"/>
                <w:szCs w:val="22"/>
                <w:lang w:val="en-GB"/>
              </w:rPr>
              <w:t>If the conditions require, a member of the group should carry a group shelter and appropriate extra layers to deal with the conditions</w:t>
            </w:r>
          </w:p>
          <w:p w14:paraId="10AA33EE" w14:textId="77777777" w:rsidR="004962A1" w:rsidRDefault="004962A1" w:rsidP="004962A1">
            <w:pPr>
              <w:pStyle w:val="Heading"/>
              <w:numPr>
                <w:ilvl w:val="0"/>
                <w:numId w:val="17"/>
              </w:numPr>
              <w:spacing w:line="276" w:lineRule="auto"/>
              <w:jc w:val="left"/>
              <w:rPr>
                <w:rFonts w:ascii="Arial" w:hAnsi="Arial" w:cs="Arial"/>
                <w:b w:val="0"/>
                <w:bCs w:val="0"/>
                <w:sz w:val="22"/>
                <w:szCs w:val="22"/>
                <w:lang w:val="en-US"/>
              </w:rPr>
            </w:pPr>
            <w:r w:rsidRPr="006507E4">
              <w:rPr>
                <w:rFonts w:ascii="Arial" w:hAnsi="Arial" w:cs="Arial"/>
                <w:b w:val="0"/>
                <w:bCs w:val="0"/>
                <w:sz w:val="22"/>
                <w:szCs w:val="22"/>
              </w:rPr>
              <w:t>A first aider must be present on the trip</w:t>
            </w:r>
            <w:r>
              <w:rPr>
                <w:rFonts w:ascii="Arial" w:hAnsi="Arial" w:cs="Arial"/>
                <w:b w:val="0"/>
                <w:bCs w:val="0"/>
                <w:sz w:val="22"/>
                <w:szCs w:val="22"/>
                <w:lang w:val="en-US"/>
              </w:rPr>
              <w:t>.</w:t>
            </w:r>
          </w:p>
          <w:p w14:paraId="6C96FDF6" w14:textId="77777777" w:rsidR="004962A1" w:rsidRDefault="004962A1" w:rsidP="004962A1">
            <w:pPr>
              <w:pStyle w:val="BodyText"/>
              <w:numPr>
                <w:ilvl w:val="0"/>
                <w:numId w:val="17"/>
              </w:numPr>
              <w:suppressAutoHyphens/>
              <w:spacing w:after="140" w:line="288" w:lineRule="auto"/>
              <w:rPr>
                <w:lang w:val="en-US"/>
              </w:rPr>
            </w:pPr>
            <w:r>
              <w:rPr>
                <w:lang w:val="en-US"/>
              </w:rPr>
              <w:t>Individuals are reminded to bring water and apply sun cream in hot weather.</w:t>
            </w:r>
          </w:p>
          <w:p w14:paraId="7799B1A9" w14:textId="77777777" w:rsidR="004962A1" w:rsidRPr="007D2ABA" w:rsidRDefault="004962A1" w:rsidP="004962A1">
            <w:pPr>
              <w:pStyle w:val="BodyText"/>
              <w:numPr>
                <w:ilvl w:val="0"/>
                <w:numId w:val="17"/>
              </w:numPr>
              <w:suppressAutoHyphens/>
              <w:spacing w:after="140" w:line="288" w:lineRule="auto"/>
              <w:rPr>
                <w:lang w:val="en-US"/>
              </w:rPr>
            </w:pPr>
            <w:r>
              <w:rPr>
                <w:lang w:val="en-US"/>
              </w:rPr>
              <w:t xml:space="preserve">If </w:t>
            </w:r>
            <w:r>
              <w:rPr>
                <w:color w:val="000000"/>
                <w:szCs w:val="22"/>
              </w:rPr>
              <w:t>the weather becomes dangerous then the session will also be cancelled</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5E41A4CB"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75BD81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1</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397DA3C0"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FDBD6"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012789FD"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300B78C8"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4</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432552BE"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09E424CF"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Lifting Kayaks/Canoes</w:t>
            </w:r>
          </w:p>
          <w:p w14:paraId="1064CE40"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064937CF"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41EEA969"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Participants informed of the safe method of transporting kayaks. If necessary, two persons should be used to move a heavy load.</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BE5F73C"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04AADAF"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0BF5FA34"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C5861"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4976C7BD"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64E54F0D"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4C16A301"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1B783748"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Adverse surf conditions</w:t>
            </w:r>
          </w:p>
          <w:p w14:paraId="6DED776E"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4A0BB298"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3DCF3FF8"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Surf conditions are monitored by the coach/participants and if inappropriate for the group, then the session will be cancelled</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52D5E343"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727C56D5"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271C0CE3"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71C54"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54A2930E"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6CD97600"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6D90BDC2"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64CC9AB5"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Cuts caused by sharps objects (rocks, reefs etc)</w:t>
            </w:r>
          </w:p>
          <w:p w14:paraId="18580CDD"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04F23E79"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Anyone paddling</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5C5366AC"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Protective footwear worn by all participants</w:t>
            </w:r>
          </w:p>
          <w:p w14:paraId="0696AF9A"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Participants made aware of the risk of cuts</w:t>
            </w:r>
          </w:p>
          <w:p w14:paraId="5DDB55A0"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Always have a qualified first aider on the trip</w:t>
            </w:r>
          </w:p>
          <w:p w14:paraId="4270BB2F" w14:textId="77777777" w:rsidR="004962A1" w:rsidRDefault="004962A1" w:rsidP="004962A1">
            <w:pPr>
              <w:pStyle w:val="Heading"/>
              <w:numPr>
                <w:ilvl w:val="0"/>
                <w:numId w:val="21"/>
              </w:numPr>
              <w:spacing w:line="276" w:lineRule="auto"/>
              <w:jc w:val="left"/>
            </w:pPr>
            <w:r>
              <w:rPr>
                <w:rFonts w:ascii="Arial" w:hAnsi="Arial" w:cs="Arial"/>
                <w:b w:val="0"/>
                <w:bCs w:val="0"/>
                <w:color w:val="000000"/>
                <w:sz w:val="22"/>
                <w:szCs w:val="22"/>
                <w:lang w:val="en-GB"/>
              </w:rPr>
              <w:t>Groups encouraged not to surf or swim near rocks or reefs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9C9CEAA"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E0A52BB"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D14BD40"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D40FB"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1EB91384"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7BF070ED"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7</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52292311"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0F331D78"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Boat Entrapment</w:t>
            </w:r>
          </w:p>
          <w:p w14:paraId="36FE335A"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5104C45C"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 xml:space="preserve">Anyone paddling </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3EEDCDE5"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Spray decks are checked often</w:t>
            </w:r>
          </w:p>
          <w:p w14:paraId="4400A72D"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Everyone is taught and checked on their ability to exit a boat prior trip</w:t>
            </w:r>
          </w:p>
          <w:p w14:paraId="681A5325"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Experienced paddlers have the ability to rescue those trapped in their boats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54F49E90"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773D846"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1</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23CC6BA"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0AA7C"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30235FB6"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3D2E78D5"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lastRenderedPageBreak/>
              <w:t>8</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3ADE60F7"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003AB88E"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Paddlers being caught in rips</w:t>
            </w:r>
          </w:p>
          <w:p w14:paraId="67C6C460"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4F6877D5"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Anyone swimming</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75CA1040" w14:textId="77777777" w:rsidR="004962A1" w:rsidRDefault="004962A1" w:rsidP="004962A1">
            <w:pPr>
              <w:pStyle w:val="Heading"/>
              <w:numPr>
                <w:ilvl w:val="0"/>
                <w:numId w:val="20"/>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Conditions are checked before getting on the water</w:t>
            </w:r>
          </w:p>
          <w:p w14:paraId="63DE5A57" w14:textId="77777777" w:rsidR="004962A1" w:rsidRPr="003B7C72" w:rsidRDefault="004962A1" w:rsidP="004962A1">
            <w:pPr>
              <w:pStyle w:val="BodyText"/>
              <w:numPr>
                <w:ilvl w:val="0"/>
                <w:numId w:val="20"/>
              </w:numPr>
              <w:suppressAutoHyphens/>
              <w:spacing w:after="140" w:line="288" w:lineRule="auto"/>
            </w:pPr>
            <w:r>
              <w:t>Swimmers to swim in lifeguard protected zones</w:t>
            </w:r>
          </w:p>
          <w:p w14:paraId="643C9571"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Kayakers informed of strategy for escaping rip tide before getting on water</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033E081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7DC90D61"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251336D5"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B45D8"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57C38400"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581BA6DA"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9</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37DCDBF4" w14:textId="77777777" w:rsidR="004962A1" w:rsidRDefault="004962A1" w:rsidP="00664C01">
            <w:pPr>
              <w:pStyle w:val="Heading"/>
              <w:snapToGrid w:val="0"/>
              <w:spacing w:line="276" w:lineRule="auto"/>
              <w:ind w:left="0"/>
              <w:jc w:val="left"/>
              <w:rPr>
                <w:rFonts w:ascii="Arial" w:hAnsi="Arial" w:cs="Arial"/>
                <w:b w:val="0"/>
                <w:bCs w:val="0"/>
                <w:color w:val="000000"/>
                <w:sz w:val="22"/>
                <w:szCs w:val="22"/>
                <w:lang w:val="en-GB"/>
              </w:rPr>
            </w:pPr>
          </w:p>
          <w:p w14:paraId="2EEEE28E"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Aggressive Surfers</w:t>
            </w:r>
          </w:p>
          <w:p w14:paraId="1D761CEE"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5740AAE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 xml:space="preserve">Anyone swimming </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66E954F4"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Efforts are taken to follow and abide by good surf etiquette at all times</w:t>
            </w:r>
          </w:p>
          <w:p w14:paraId="206D0A35" w14:textId="77777777" w:rsidR="004962A1" w:rsidRDefault="004962A1" w:rsidP="004962A1">
            <w:pPr>
              <w:pStyle w:val="Heading"/>
              <w:numPr>
                <w:ilvl w:val="0"/>
                <w:numId w:val="20"/>
              </w:numPr>
              <w:spacing w:line="276" w:lineRule="auto"/>
              <w:jc w:val="left"/>
            </w:pPr>
            <w:r>
              <w:rPr>
                <w:rFonts w:ascii="Arial" w:hAnsi="Arial" w:cs="Arial"/>
                <w:b w:val="0"/>
                <w:bCs w:val="0"/>
                <w:color w:val="000000"/>
                <w:sz w:val="22"/>
                <w:szCs w:val="22"/>
                <w:lang w:val="en-GB"/>
              </w:rPr>
              <w:t>Beginners’ groups are taken away from the main break so that they do not get in the way of other beach users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122D4682"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DF6A5FE"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2A4AE707" w14:textId="77777777" w:rsidR="004962A1" w:rsidRDefault="004962A1" w:rsidP="00664C01">
            <w:pPr>
              <w:pStyle w:val="Heading"/>
              <w:spacing w:line="276" w:lineRule="auto"/>
              <w:ind w:left="0"/>
              <w:jc w:val="left"/>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DC4CC"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6E32E411"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02ABCF31"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10</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14384074"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sidRPr="007D2ABA">
              <w:rPr>
                <w:rFonts w:ascii="Arial" w:hAnsi="Arial" w:cs="Arial"/>
                <w:b w:val="0"/>
                <w:bCs w:val="0"/>
                <w:color w:val="000000"/>
                <w:sz w:val="22"/>
                <w:szCs w:val="22"/>
                <w:lang w:val="en-GB"/>
              </w:rPr>
              <w:t>Intoxicated water access (drinking on beach)</w:t>
            </w:r>
          </w:p>
        </w:tc>
        <w:tc>
          <w:tcPr>
            <w:tcW w:w="1454" w:type="dxa"/>
            <w:tcBorders>
              <w:top w:val="single" w:sz="4" w:space="0" w:color="000000" w:themeColor="text1"/>
              <w:left w:val="single" w:sz="4" w:space="0" w:color="000000" w:themeColor="text1"/>
              <w:bottom w:val="single" w:sz="4" w:space="0" w:color="000000" w:themeColor="text1"/>
            </w:tcBorders>
            <w:vAlign w:val="center"/>
          </w:tcPr>
          <w:p w14:paraId="4D0D57B7"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Anyone</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13EAF375" w14:textId="77777777" w:rsidR="004962A1" w:rsidRPr="00DC7FE8" w:rsidRDefault="004962A1" w:rsidP="004962A1">
            <w:pPr>
              <w:pStyle w:val="Heading"/>
              <w:numPr>
                <w:ilvl w:val="0"/>
                <w:numId w:val="16"/>
              </w:numPr>
              <w:spacing w:line="276" w:lineRule="auto"/>
              <w:jc w:val="left"/>
              <w:rPr>
                <w:rFonts w:ascii="Arial" w:hAnsi="Arial" w:cs="Arial"/>
                <w:b w:val="0"/>
                <w:bCs w:val="0"/>
                <w:color w:val="000000"/>
                <w:sz w:val="22"/>
                <w:szCs w:val="22"/>
                <w:lang w:val="en-GB"/>
              </w:rPr>
            </w:pPr>
            <w:r w:rsidRPr="00DC7FE8">
              <w:rPr>
                <w:rFonts w:ascii="Arial" w:hAnsi="Arial" w:cs="Arial"/>
                <w:b w:val="0"/>
                <w:bCs w:val="0"/>
                <w:color w:val="000000"/>
                <w:sz w:val="22"/>
                <w:szCs w:val="22"/>
                <w:lang w:val="en-GB"/>
              </w:rPr>
              <w:t>Everyone reminded of dangers of entering water while intoxicated</w:t>
            </w:r>
          </w:p>
          <w:p w14:paraId="378A792A" w14:textId="77777777" w:rsidR="004962A1" w:rsidRPr="00DC7FE8" w:rsidRDefault="004962A1" w:rsidP="004962A1">
            <w:pPr>
              <w:pStyle w:val="Heading"/>
              <w:numPr>
                <w:ilvl w:val="0"/>
                <w:numId w:val="16"/>
              </w:numPr>
              <w:spacing w:line="276" w:lineRule="auto"/>
              <w:jc w:val="left"/>
              <w:rPr>
                <w:rFonts w:ascii="Arial" w:hAnsi="Arial" w:cs="Arial"/>
                <w:b w:val="0"/>
                <w:bCs w:val="0"/>
                <w:color w:val="000000"/>
                <w:sz w:val="22"/>
                <w:szCs w:val="22"/>
                <w:lang w:val="en-GB"/>
              </w:rPr>
            </w:pPr>
            <w:r w:rsidRPr="00DC7FE8">
              <w:rPr>
                <w:rFonts w:ascii="Arial" w:hAnsi="Arial" w:cs="Arial"/>
                <w:b w:val="0"/>
                <w:bCs w:val="0"/>
                <w:color w:val="000000"/>
                <w:sz w:val="22"/>
                <w:szCs w:val="22"/>
                <w:lang w:val="en-GB"/>
              </w:rPr>
              <w:t xml:space="preserve">Entering the water while intoxicated is not condoned by club </w:t>
            </w:r>
          </w:p>
          <w:p w14:paraId="565719CC" w14:textId="77777777" w:rsidR="004962A1" w:rsidRPr="00DC7FE8" w:rsidRDefault="004962A1" w:rsidP="004962A1">
            <w:pPr>
              <w:pStyle w:val="BodyText"/>
              <w:numPr>
                <w:ilvl w:val="0"/>
                <w:numId w:val="16"/>
              </w:numPr>
              <w:suppressAutoHyphens/>
              <w:spacing w:after="140" w:line="288" w:lineRule="auto"/>
            </w:pPr>
            <w:r w:rsidRPr="00DC7FE8">
              <w:t>At least one senior club member present</w:t>
            </w:r>
          </w:p>
          <w:p w14:paraId="66858345" w14:textId="77777777" w:rsidR="004962A1" w:rsidRPr="00DC7FE8" w:rsidRDefault="004962A1" w:rsidP="004962A1">
            <w:pPr>
              <w:pStyle w:val="BodyText"/>
              <w:numPr>
                <w:ilvl w:val="0"/>
                <w:numId w:val="16"/>
              </w:numPr>
              <w:suppressAutoHyphens/>
              <w:spacing w:after="140" w:line="288" w:lineRule="auto"/>
            </w:pPr>
            <w:r w:rsidRPr="00DC7FE8">
              <w:t>Other club members to strongly discourage any water access to anyone deemed intoxicated as part of a safe club atmosphere.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2B09D7F1"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themeColor="text1"/>
                <w:sz w:val="22"/>
                <w:szCs w:val="22"/>
                <w:lang w:val="en-GB"/>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33AE0547"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360D4EA2"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themeColor="text1"/>
                <w:sz w:val="22"/>
                <w:szCs w:val="22"/>
                <w:lang w:val="en-GB"/>
              </w:rPr>
              <w:t>15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E6E86"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r w:rsidR="004962A1" w14:paraId="2B5D8E88" w14:textId="77777777" w:rsidTr="00664C01">
        <w:trPr>
          <w:cantSplit/>
          <w:trHeight w:val="375"/>
        </w:trPr>
        <w:tc>
          <w:tcPr>
            <w:tcW w:w="549" w:type="dxa"/>
            <w:tcBorders>
              <w:top w:val="single" w:sz="4" w:space="0" w:color="000000" w:themeColor="text1"/>
              <w:left w:val="single" w:sz="4" w:space="0" w:color="000000" w:themeColor="text1"/>
              <w:bottom w:val="single" w:sz="4" w:space="0" w:color="000000" w:themeColor="text1"/>
            </w:tcBorders>
            <w:vAlign w:val="center"/>
          </w:tcPr>
          <w:p w14:paraId="316454C4"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11</w:t>
            </w:r>
          </w:p>
        </w:tc>
        <w:tc>
          <w:tcPr>
            <w:tcW w:w="3023" w:type="dxa"/>
            <w:tcBorders>
              <w:top w:val="single" w:sz="4" w:space="0" w:color="000000" w:themeColor="text1"/>
              <w:left w:val="single" w:sz="4" w:space="0" w:color="000000" w:themeColor="text1"/>
              <w:bottom w:val="single" w:sz="4" w:space="0" w:color="000000" w:themeColor="text1"/>
            </w:tcBorders>
            <w:vAlign w:val="center"/>
          </w:tcPr>
          <w:p w14:paraId="7114AEF4" w14:textId="77777777" w:rsidR="004962A1" w:rsidRDefault="004962A1" w:rsidP="00664C01">
            <w:pPr>
              <w:pStyle w:val="Heading"/>
              <w:snapToGrid w:val="0"/>
              <w:spacing w:line="276" w:lineRule="auto"/>
              <w:ind w:left="0"/>
              <w:jc w:val="left"/>
              <w:rPr>
                <w:rFonts w:ascii="Times New Roman" w:hAnsi="Times New Roman"/>
                <w:b w:val="0"/>
                <w:color w:val="000000"/>
                <w:sz w:val="24"/>
                <w:szCs w:val="20"/>
                <w:lang w:val="en-GB"/>
              </w:rPr>
            </w:pPr>
            <w:r w:rsidRPr="00826BAA">
              <w:rPr>
                <w:rFonts w:ascii="Arial" w:hAnsi="Arial" w:cs="Arial"/>
                <w:b w:val="0"/>
                <w:bCs w:val="0"/>
                <w:color w:val="000000"/>
                <w:sz w:val="22"/>
                <w:szCs w:val="22"/>
                <w:lang w:val="en-GB"/>
              </w:rPr>
              <w:t>People participating who are not medically fit</w:t>
            </w:r>
          </w:p>
        </w:tc>
        <w:tc>
          <w:tcPr>
            <w:tcW w:w="1454" w:type="dxa"/>
            <w:tcBorders>
              <w:top w:val="single" w:sz="4" w:space="0" w:color="000000" w:themeColor="text1"/>
              <w:left w:val="single" w:sz="4" w:space="0" w:color="000000" w:themeColor="text1"/>
              <w:bottom w:val="single" w:sz="4" w:space="0" w:color="000000" w:themeColor="text1"/>
            </w:tcBorders>
          </w:tcPr>
          <w:p w14:paraId="4188B8FB"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Anyone on the water</w:t>
            </w:r>
          </w:p>
        </w:tc>
        <w:tc>
          <w:tcPr>
            <w:tcW w:w="6945" w:type="dxa"/>
            <w:tcBorders>
              <w:top w:val="single" w:sz="4" w:space="0" w:color="000000" w:themeColor="text1"/>
              <w:left w:val="single" w:sz="4" w:space="0" w:color="000000" w:themeColor="text1"/>
              <w:bottom w:val="single" w:sz="4" w:space="0" w:color="000000" w:themeColor="text1"/>
            </w:tcBorders>
            <w:vAlign w:val="center"/>
          </w:tcPr>
          <w:p w14:paraId="352D5637" w14:textId="77777777" w:rsidR="004962A1" w:rsidRDefault="004962A1" w:rsidP="004962A1">
            <w:pPr>
              <w:pStyle w:val="Heading"/>
              <w:numPr>
                <w:ilvl w:val="0"/>
                <w:numId w:val="16"/>
              </w:numPr>
              <w:spacing w:line="276" w:lineRule="auto"/>
              <w:ind w:left="72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Use of confidential medical questionnaire must be completed by all trip members.</w:t>
            </w:r>
          </w:p>
          <w:p w14:paraId="27515E70" w14:textId="77777777" w:rsidR="004962A1" w:rsidRDefault="004962A1" w:rsidP="004962A1">
            <w:pPr>
              <w:pStyle w:val="Heading"/>
              <w:numPr>
                <w:ilvl w:val="0"/>
                <w:numId w:val="16"/>
              </w:numPr>
              <w:spacing w:line="276" w:lineRule="auto"/>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Form should be updated in the event in change of medical circumstance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7A0BC16"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C5C8A2E"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sidRPr="00826BAA">
              <w:rPr>
                <w:rFonts w:ascii="Arial" w:hAnsi="Arial" w:cs="Arial"/>
                <w:b w:val="0"/>
                <w:bCs w:val="0"/>
                <w:color w:val="000000"/>
                <w:sz w:val="22"/>
                <w:szCs w:val="22"/>
                <w:lang w:val="en-GB"/>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352E0005" w14:textId="77777777" w:rsidR="004962A1" w:rsidRDefault="004962A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39CA7" w14:textId="77777777" w:rsidR="004962A1" w:rsidRDefault="004962A1" w:rsidP="00664C01">
            <w:pPr>
              <w:pStyle w:val="Heading"/>
              <w:snapToGrid w:val="0"/>
              <w:spacing w:line="276" w:lineRule="auto"/>
              <w:ind w:left="360"/>
              <w:jc w:val="left"/>
              <w:rPr>
                <w:rFonts w:ascii="Arial" w:hAnsi="Arial" w:cs="Arial"/>
                <w:b w:val="0"/>
                <w:bCs w:val="0"/>
                <w:color w:val="000000"/>
                <w:sz w:val="22"/>
                <w:szCs w:val="22"/>
                <w:lang w:val="en-GB"/>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7EEBD7C8" w:rsidR="00676B96" w:rsidRDefault="00916455" w:rsidP="000218AD">
            <w:pPr>
              <w:pStyle w:val="Title"/>
              <w:ind w:left="0"/>
              <w:jc w:val="left"/>
              <w:outlineLvl w:val="0"/>
              <w:rPr>
                <w:rFonts w:ascii="Arial" w:hAnsi="Arial" w:cs="Arial"/>
                <w:sz w:val="22"/>
                <w:u w:val="none"/>
              </w:rPr>
            </w:pPr>
            <w:r>
              <w:rPr>
                <w:noProof/>
              </w:rPr>
              <w:drawing>
                <wp:inline distT="0" distB="0" distL="0" distR="0" wp14:anchorId="38C21356" wp14:editId="086C9181">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2DE5E76F" w:rsidR="00676B96" w:rsidRPr="00C872EC" w:rsidRDefault="00916455"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6247A339" w:rsidR="00676B96" w:rsidRDefault="00916455"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3"/>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293F" w14:textId="77777777" w:rsidR="00720800" w:rsidRDefault="00720800">
      <w:r>
        <w:separator/>
      </w:r>
    </w:p>
  </w:endnote>
  <w:endnote w:type="continuationSeparator" w:id="0">
    <w:p w14:paraId="263F3003" w14:textId="77777777" w:rsidR="00720800" w:rsidRDefault="00720800">
      <w:r>
        <w:continuationSeparator/>
      </w:r>
    </w:p>
  </w:endnote>
  <w:endnote w:type="continuationNotice" w:id="1">
    <w:p w14:paraId="64FDF7C7" w14:textId="77777777" w:rsidR="00720800" w:rsidRDefault="0072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5B87" w14:textId="77777777" w:rsidR="00720800" w:rsidRDefault="00720800">
      <w:r>
        <w:separator/>
      </w:r>
    </w:p>
  </w:footnote>
  <w:footnote w:type="continuationSeparator" w:id="0">
    <w:p w14:paraId="04D0BCB5" w14:textId="77777777" w:rsidR="00720800" w:rsidRDefault="00720800">
      <w:r>
        <w:continuationSeparator/>
      </w:r>
    </w:p>
  </w:footnote>
  <w:footnote w:type="continuationNotice" w:id="1">
    <w:p w14:paraId="074FDA77" w14:textId="77777777" w:rsidR="00720800" w:rsidRDefault="00720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502"/>
        </w:tabs>
        <w:ind w:left="502" w:hanging="360"/>
      </w:pPr>
      <w:rPr>
        <w:rFonts w:ascii="Symbol" w:hAnsi="Symbol" w:cs="Symbol"/>
      </w:rPr>
    </w:lvl>
  </w:abstractNum>
  <w:abstractNum w:abstractNumId="1" w15:restartNumberingAfterBreak="0">
    <w:nsid w:val="00000004"/>
    <w:multiLevelType w:val="singleLevel"/>
    <w:tmpl w:val="00000004"/>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5"/>
    <w:multiLevelType w:val="singleLevel"/>
    <w:tmpl w:val="00000005"/>
    <w:lvl w:ilvl="0">
      <w:start w:val="1"/>
      <w:numFmt w:val="bullet"/>
      <w:lvlText w:val=""/>
      <w:lvlJc w:val="left"/>
      <w:pPr>
        <w:tabs>
          <w:tab w:val="num" w:pos="0"/>
        </w:tabs>
        <w:ind w:left="360" w:hanging="360"/>
      </w:pPr>
      <w:rPr>
        <w:rFonts w:ascii="Symbol" w:hAnsi="Symbol" w:cs="Symbol"/>
      </w:rPr>
    </w:lvl>
  </w:abstractNum>
  <w:abstractNum w:abstractNumId="3" w15:restartNumberingAfterBreak="0">
    <w:nsid w:val="00000006"/>
    <w:multiLevelType w:val="singleLevel"/>
    <w:tmpl w:val="00000006"/>
    <w:lvl w:ilvl="0">
      <w:start w:val="1"/>
      <w:numFmt w:val="bullet"/>
      <w:lvlText w:val=""/>
      <w:lvlJc w:val="left"/>
      <w:pPr>
        <w:tabs>
          <w:tab w:val="num" w:pos="0"/>
        </w:tabs>
        <w:ind w:left="360" w:hanging="360"/>
      </w:pPr>
      <w:rPr>
        <w:rFonts w:ascii="Symbol" w:hAnsi="Symbol" w:cs="Symbol"/>
        <w:color w:val="000000"/>
        <w:kern w:val="1"/>
        <w:sz w:val="22"/>
        <w:szCs w:val="22"/>
        <w:lang w:val="en-GB"/>
      </w:rPr>
    </w:lvl>
  </w:abstractNum>
  <w:abstractNum w:abstractNumId="4"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FE2141"/>
    <w:multiLevelType w:val="hybridMultilevel"/>
    <w:tmpl w:val="C46E4E2E"/>
    <w:lvl w:ilvl="0" w:tplc="00000006">
      <w:start w:val="1"/>
      <w:numFmt w:val="bullet"/>
      <w:lvlText w:val=""/>
      <w:lvlJc w:val="left"/>
      <w:pPr>
        <w:tabs>
          <w:tab w:val="num" w:pos="0"/>
        </w:tabs>
        <w:ind w:left="360" w:hanging="360"/>
      </w:pPr>
      <w:rPr>
        <w:rFonts w:ascii="Symbol" w:hAnsi="Symbol" w:cs="Symbol"/>
        <w:color w:val="000000"/>
        <w:kern w:val="1"/>
        <w:sz w:val="22"/>
        <w:szCs w:val="2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99232E"/>
    <w:multiLevelType w:val="hybridMultilevel"/>
    <w:tmpl w:val="9AA8CBAA"/>
    <w:lvl w:ilvl="0" w:tplc="00000006">
      <w:start w:val="1"/>
      <w:numFmt w:val="bullet"/>
      <w:lvlText w:val=""/>
      <w:lvlJc w:val="left"/>
      <w:pPr>
        <w:tabs>
          <w:tab w:val="num" w:pos="0"/>
        </w:tabs>
        <w:ind w:left="360" w:hanging="360"/>
      </w:pPr>
      <w:rPr>
        <w:rFonts w:ascii="Symbol" w:hAnsi="Symbol" w:cs="Symbol"/>
        <w:color w:val="000000"/>
        <w:kern w:val="1"/>
        <w:sz w:val="22"/>
        <w:szCs w:val="2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5"/>
  </w:num>
  <w:num w:numId="2" w16cid:durableId="1027101795">
    <w:abstractNumId w:val="9"/>
  </w:num>
  <w:num w:numId="3" w16cid:durableId="1085804245">
    <w:abstractNumId w:val="15"/>
  </w:num>
  <w:num w:numId="4" w16cid:durableId="725492166">
    <w:abstractNumId w:val="18"/>
  </w:num>
  <w:num w:numId="5" w16cid:durableId="739138328">
    <w:abstractNumId w:val="17"/>
  </w:num>
  <w:num w:numId="6" w16cid:durableId="1467312925">
    <w:abstractNumId w:val="8"/>
  </w:num>
  <w:num w:numId="7" w16cid:durableId="1279946902">
    <w:abstractNumId w:val="16"/>
  </w:num>
  <w:num w:numId="8" w16cid:durableId="731536207">
    <w:abstractNumId w:val="11"/>
  </w:num>
  <w:num w:numId="9" w16cid:durableId="1612396913">
    <w:abstractNumId w:val="6"/>
  </w:num>
  <w:num w:numId="10" w16cid:durableId="1337077883">
    <w:abstractNumId w:val="13"/>
  </w:num>
  <w:num w:numId="11" w16cid:durableId="1069039311">
    <w:abstractNumId w:val="12"/>
  </w:num>
  <w:num w:numId="12" w16cid:durableId="1769158301">
    <w:abstractNumId w:val="20"/>
  </w:num>
  <w:num w:numId="13" w16cid:durableId="1248343833">
    <w:abstractNumId w:val="4"/>
  </w:num>
  <w:num w:numId="14" w16cid:durableId="1966767002">
    <w:abstractNumId w:val="7"/>
  </w:num>
  <w:num w:numId="15" w16cid:durableId="1515458500">
    <w:abstractNumId w:val="10"/>
  </w:num>
  <w:num w:numId="16" w16cid:durableId="1492066878">
    <w:abstractNumId w:val="0"/>
  </w:num>
  <w:num w:numId="17" w16cid:durableId="1573420735">
    <w:abstractNumId w:val="1"/>
  </w:num>
  <w:num w:numId="18" w16cid:durableId="1268318832">
    <w:abstractNumId w:val="2"/>
  </w:num>
  <w:num w:numId="19" w16cid:durableId="1040477053">
    <w:abstractNumId w:val="3"/>
  </w:num>
  <w:num w:numId="20" w16cid:durableId="1849053225">
    <w:abstractNumId w:val="14"/>
  </w:num>
  <w:num w:numId="21" w16cid:durableId="1869638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33B0A"/>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955B6"/>
    <w:rsid w:val="002959FD"/>
    <w:rsid w:val="002C7DEF"/>
    <w:rsid w:val="002F1F1E"/>
    <w:rsid w:val="002F76FB"/>
    <w:rsid w:val="00327E04"/>
    <w:rsid w:val="00343642"/>
    <w:rsid w:val="0036424D"/>
    <w:rsid w:val="003879C3"/>
    <w:rsid w:val="00390827"/>
    <w:rsid w:val="00392F51"/>
    <w:rsid w:val="003C1A84"/>
    <w:rsid w:val="003F3D08"/>
    <w:rsid w:val="003F7AA8"/>
    <w:rsid w:val="00425FCB"/>
    <w:rsid w:val="004456B0"/>
    <w:rsid w:val="00453398"/>
    <w:rsid w:val="00476A5C"/>
    <w:rsid w:val="00481A08"/>
    <w:rsid w:val="00490B3A"/>
    <w:rsid w:val="004962A1"/>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20800"/>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16455"/>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21EA2"/>
    <w:rsid w:val="00C51992"/>
    <w:rsid w:val="00C61CD3"/>
    <w:rsid w:val="00C623E1"/>
    <w:rsid w:val="00C872EC"/>
    <w:rsid w:val="00CE0334"/>
    <w:rsid w:val="00D01AE5"/>
    <w:rsid w:val="00D2199B"/>
    <w:rsid w:val="00D53B33"/>
    <w:rsid w:val="00D67C36"/>
    <w:rsid w:val="00DB1725"/>
    <w:rsid w:val="00E05FB0"/>
    <w:rsid w:val="00E1752E"/>
    <w:rsid w:val="00E27347"/>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4962A1"/>
    <w:pPr>
      <w:spacing w:after="120"/>
    </w:pPr>
  </w:style>
  <w:style w:type="character" w:customStyle="1" w:styleId="BodyTextChar">
    <w:name w:val="Body Text Char"/>
    <w:basedOn w:val="DefaultParagraphFont"/>
    <w:link w:val="BodyText"/>
    <w:semiHidden/>
    <w:rsid w:val="004962A1"/>
    <w:rPr>
      <w:rFonts w:ascii="Arial" w:hAnsi="Arial" w:cs="Arial"/>
      <w:szCs w:val="24"/>
      <w:lang w:eastAsia="en-US"/>
    </w:rPr>
  </w:style>
  <w:style w:type="paragraph" w:customStyle="1" w:styleId="Heading">
    <w:name w:val="Heading"/>
    <w:basedOn w:val="Normal"/>
    <w:next w:val="BodyText"/>
    <w:rsid w:val="004962A1"/>
    <w:pPr>
      <w:suppressAutoHyphens/>
      <w:autoSpaceDE w:val="0"/>
      <w:ind w:left="-23"/>
      <w:jc w:val="center"/>
    </w:pPr>
    <w:rPr>
      <w:rFonts w:ascii="Cambria" w:hAnsi="Cambria" w:cs="Times New Roman"/>
      <w:b/>
      <w:bCs/>
      <w:kern w:val="1"/>
      <w:sz w:val="32"/>
      <w:szCs w:val="32"/>
      <w:lang w:val="x-none" w:eastAsia="zh-CN"/>
    </w:rPr>
  </w:style>
  <w:style w:type="character" w:styleId="CommentReference">
    <w:name w:val="annotation reference"/>
    <w:basedOn w:val="DefaultParagraphFont"/>
    <w:uiPriority w:val="99"/>
    <w:semiHidden/>
    <w:unhideWhenUsed/>
    <w:rsid w:val="004962A1"/>
    <w:rPr>
      <w:sz w:val="16"/>
      <w:szCs w:val="16"/>
    </w:rPr>
  </w:style>
  <w:style w:type="paragraph" w:styleId="CommentText">
    <w:name w:val="annotation text"/>
    <w:basedOn w:val="Normal"/>
    <w:link w:val="CommentTextChar"/>
    <w:uiPriority w:val="99"/>
    <w:unhideWhenUsed/>
    <w:rsid w:val="004962A1"/>
    <w:pPr>
      <w:suppressAutoHyphens/>
    </w:pPr>
    <w:rPr>
      <w:szCs w:val="20"/>
      <w:lang w:eastAsia="zh-CN"/>
    </w:rPr>
  </w:style>
  <w:style w:type="character" w:customStyle="1" w:styleId="CommentTextChar">
    <w:name w:val="Comment Text Char"/>
    <w:basedOn w:val="DefaultParagraphFont"/>
    <w:link w:val="CommentText"/>
    <w:uiPriority w:val="99"/>
    <w:rsid w:val="004962A1"/>
    <w:rPr>
      <w:rFonts w:ascii="Arial" w:hAnsi="Arial" w:cs="Arial"/>
      <w:lang w:eastAsia="zh-CN"/>
    </w:rPr>
  </w:style>
  <w:style w:type="character" w:customStyle="1" w:styleId="WW8Num1z3">
    <w:name w:val="WW8Num1z3"/>
    <w:rsid w:val="0049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2.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C133D-B003-4AD2-A29C-552AE51EE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2026-02-10T13:09:00Z</dcterms:created>
  <dcterms:modified xsi:type="dcterms:W3CDTF">2026-02-10T17:32:00Z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c134898e-badc-471a-82b9-47ea30d17664</vt:lpwstr>
  </property>
</Properties>
</file>